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3GPP TSG-RAN WG2 Meeting</w:t>
      </w:r>
      <w:r>
        <w:rPr>
          <w:rFonts w:hint="eastAsia" w:ascii="Arial" w:hAnsi="Arial" w:cs="Arial"/>
          <w:b/>
          <w:bCs/>
          <w:snapToGrid w:val="0"/>
          <w:kern w:val="0"/>
          <w:sz w:val="28"/>
          <w:szCs w:val="28"/>
        </w:rPr>
        <w:t>#</w:t>
      </w:r>
      <w:r>
        <w:rPr>
          <w:rFonts w:ascii="Arial" w:hAnsi="Arial" w:cs="Arial"/>
          <w:b/>
          <w:bCs/>
          <w:snapToGrid w:val="0"/>
          <w:kern w:val="0"/>
          <w:sz w:val="28"/>
          <w:szCs w:val="28"/>
          <w:lang w:val="en-GB"/>
        </w:rPr>
        <w:t>102</w:t>
      </w:r>
      <w:r>
        <w:rPr>
          <w:rFonts w:ascii="Arial" w:hAnsi="Arial" w:cs="Arial"/>
          <w:b/>
          <w:bCs/>
          <w:snapToGrid w:val="0"/>
          <w:kern w:val="0"/>
          <w:sz w:val="28"/>
          <w:szCs w:val="28"/>
          <w:lang w:val="en-GB"/>
        </w:rPr>
        <w:tab/>
      </w:r>
      <w:r>
        <w:rPr>
          <w:rFonts w:ascii="Arial" w:hAnsi="Arial" w:cs="Arial"/>
          <w:b/>
          <w:bCs/>
          <w:snapToGrid w:val="0"/>
          <w:kern w:val="0"/>
          <w:sz w:val="28"/>
          <w:szCs w:val="28"/>
          <w:lang w:val="en-GB"/>
        </w:rPr>
        <w:tab/>
      </w:r>
      <w:r>
        <w:rPr>
          <w:rFonts w:hint="eastAsia" w:ascii="Arial" w:hAnsi="Arial" w:cs="Arial"/>
          <w:b/>
          <w:bCs/>
          <w:snapToGrid w:val="0"/>
          <w:kern w:val="0"/>
          <w:sz w:val="28"/>
          <w:szCs w:val="28"/>
          <w:lang w:val="en-GB"/>
        </w:rPr>
        <w:t xml:space="preserve">       </w:t>
      </w:r>
      <w:r>
        <w:rPr>
          <w:rFonts w:hint="eastAsia" w:ascii="Arial" w:hAnsi="Arial" w:cs="Arial"/>
          <w:b/>
          <w:bCs/>
          <w:snapToGrid w:val="0"/>
          <w:kern w:val="0"/>
          <w:sz w:val="28"/>
          <w:szCs w:val="28"/>
        </w:rPr>
        <w:t xml:space="preserve">   </w:t>
      </w:r>
      <w:r>
        <w:rPr>
          <w:rFonts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hint="eastAsia" w:ascii="Arial" w:hAnsi="Arial" w:cs="Arial"/>
          <w:b/>
          <w:bCs/>
          <w:snapToGrid w:val="0"/>
          <w:kern w:val="0"/>
          <w:sz w:val="28"/>
          <w:szCs w:val="28"/>
        </w:rPr>
        <w:t>R2-1807312</w:t>
      </w:r>
    </w:p>
    <w:p>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Busan, Korea, 21 – 25 May 2018</w:t>
      </w:r>
      <w:r>
        <w:rPr>
          <w:rFonts w:ascii="Arial" w:hAnsi="Arial" w:cs="Arial"/>
          <w:b/>
          <w:bCs/>
          <w:kern w:val="0"/>
          <w:sz w:val="28"/>
          <w:szCs w:val="28"/>
        </w:rPr>
        <w:t xml:space="preserve"> </w:t>
      </w:r>
      <w:r>
        <w:rPr>
          <w:rFonts w:ascii="Arial" w:hAnsi="Arial" w:cs="Arial"/>
          <w:b/>
          <w:bCs/>
          <w:kern w:val="0"/>
          <w:sz w:val="28"/>
          <w:szCs w:val="28"/>
          <w:lang w:val="en-GB"/>
        </w:rPr>
        <w:tab/>
      </w:r>
      <w:r>
        <w:rPr>
          <w:rFonts w:ascii="Arial" w:hAnsi="Arial" w:cs="Arial"/>
          <w:b/>
          <w:bCs/>
          <w:kern w:val="0"/>
          <w:sz w:val="28"/>
          <w:szCs w:val="28"/>
          <w:lang w:val="en-GB"/>
        </w:rPr>
        <w:tab/>
      </w:r>
      <w:r>
        <w:rPr>
          <w:rFonts w:ascii="Arial" w:hAnsi="Arial" w:cs="Arial"/>
          <w:b/>
          <w:bCs/>
          <w:kern w:val="0"/>
          <w:sz w:val="28"/>
          <w:szCs w:val="28"/>
          <w:lang w:val="en-GB"/>
        </w:rPr>
        <w:t xml:space="preserve">  </w:t>
      </w:r>
      <w:r>
        <w:rPr>
          <w:rFonts w:ascii="Arial" w:hAnsi="Arial" w:cs="Arial"/>
          <w:b/>
          <w:bCs/>
          <w:kern w:val="0"/>
          <w:sz w:val="28"/>
          <w:szCs w:val="28"/>
          <w:lang w:val="en-GB"/>
        </w:rPr>
        <w:tab/>
      </w:r>
      <w:r>
        <w:rPr>
          <w:rFonts w:ascii="Arial" w:hAnsi="Arial" w:cs="Arial"/>
          <w:b/>
          <w:bCs/>
          <w:kern w:val="0"/>
          <w:sz w:val="28"/>
          <w:szCs w:val="28"/>
          <w:lang w:val="en-GB"/>
        </w:rPr>
        <w:t xml:space="preserve"> </w:t>
      </w:r>
      <w:r>
        <w:rPr>
          <w:rFonts w:ascii="Arial" w:hAnsi="Arial" w:cs="Arial"/>
          <w:b/>
          <w:bCs/>
          <w:kern w:val="0"/>
          <w:sz w:val="28"/>
          <w:szCs w:val="28"/>
          <w:lang w:val="en-GB"/>
        </w:rPr>
        <w:tab/>
      </w:r>
      <w:r>
        <w:rPr>
          <w:rFonts w:ascii="Arial" w:hAnsi="Arial" w:cs="Arial"/>
          <w:b/>
          <w:bCs/>
          <w:kern w:val="0"/>
          <w:sz w:val="28"/>
          <w:szCs w:val="28"/>
          <w:lang w:val="en-GB"/>
        </w:rPr>
        <w:t xml:space="preserve">    </w:t>
      </w:r>
    </w:p>
    <w:p>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 xml:space="preserve"> </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ZTE Corporation</w:t>
      </w:r>
    </w:p>
    <w:p>
      <w:pPr>
        <w:overflowPunct w:val="0"/>
        <w:autoSpaceDE w:val="0"/>
        <w:autoSpaceDN w:val="0"/>
        <w:adjustRightInd w:val="0"/>
        <w:snapToGrid w:val="0"/>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r>
      <w:r>
        <w:rPr>
          <w:rFonts w:hint="eastAsia" w:ascii="Arial" w:hAnsi="Arial" w:cs="Arial"/>
          <w:b/>
          <w:bCs/>
          <w:snapToGrid w:val="0"/>
          <w:kern w:val="0"/>
          <w:sz w:val="28"/>
          <w:szCs w:val="28"/>
        </w:rPr>
        <w:t>Consideration on Emergency</w:t>
      </w:r>
      <w:r>
        <w:rPr>
          <w:rFonts w:hint="eastAsia" w:ascii="Arial" w:hAnsi="Arial" w:cs="Arial"/>
          <w:b/>
          <w:bCs/>
          <w:snapToGrid w:val="0"/>
          <w:kern w:val="0"/>
          <w:sz w:val="28"/>
          <w:szCs w:val="28"/>
          <w:lang w:val="en-US" w:eastAsia="zh-CN"/>
        </w:rPr>
        <w:t>/</w:t>
      </w:r>
      <w:r>
        <w:rPr>
          <w:rFonts w:hint="eastAsia" w:ascii="Arial" w:hAnsi="Arial" w:cs="Arial"/>
          <w:b/>
          <w:bCs/>
          <w:snapToGrid w:val="0"/>
          <w:kern w:val="0"/>
          <w:sz w:val="28"/>
          <w:szCs w:val="28"/>
        </w:rPr>
        <w:t>Voice fallback from NR to LTE</w:t>
      </w:r>
      <w:r>
        <w:rPr>
          <w:rFonts w:ascii="Arial" w:hAnsi="Arial" w:cs="Arial"/>
          <w:b/>
          <w:bCs/>
          <w:snapToGrid w:val="0"/>
          <w:kern w:val="0"/>
          <w:sz w:val="28"/>
          <w:szCs w:val="28"/>
        </w:rPr>
        <w:t xml:space="preserve">  </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r>
        <w:rPr>
          <w:rFonts w:ascii="Arial" w:hAnsi="Arial" w:cs="Arial"/>
          <w:b/>
          <w:bCs/>
          <w:snapToGrid w:val="0"/>
          <w:kern w:val="0"/>
          <w:sz w:val="28"/>
          <w:szCs w:val="28"/>
        </w:rPr>
        <w:tab/>
      </w:r>
      <w:bookmarkStart w:id="0" w:name="Source"/>
      <w:bookmarkEnd w:id="0"/>
      <w:r>
        <w:rPr>
          <w:rFonts w:hint="eastAsia" w:ascii="Arial" w:hAnsi="Arial" w:cs="Arial"/>
          <w:b/>
          <w:bCs/>
          <w:snapToGrid w:val="0"/>
          <w:kern w:val="0"/>
          <w:sz w:val="28"/>
          <w:szCs w:val="28"/>
        </w:rPr>
        <w:t>10.2.8</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1" w:name="DocumentFor"/>
      <w:bookmarkEnd w:id="1"/>
      <w:r>
        <w:rPr>
          <w:rFonts w:hint="eastAsia"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Discussion</w:t>
      </w:r>
      <w:r>
        <w:rPr>
          <w:rFonts w:hint="eastAsia" w:ascii="Arial" w:hAnsi="Arial" w:cs="Arial"/>
          <w:b/>
          <w:bCs/>
          <w:snapToGrid w:val="0"/>
          <w:kern w:val="0"/>
          <w:sz w:val="28"/>
          <w:szCs w:val="28"/>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
        <w:rPr>
          <w:rFonts w:eastAsia="宋体"/>
        </w:rPr>
        <w:t>I</w:t>
      </w:r>
      <w:r>
        <w:rPr>
          <w:rFonts w:hint="eastAsia" w:eastAsia="宋体"/>
        </w:rPr>
        <w:t xml:space="preserve">n </w:t>
      </w:r>
      <w:r>
        <w:rPr>
          <w:rFonts w:hint="eastAsia"/>
        </w:rPr>
        <w:t>RAN2 #101bis</w:t>
      </w:r>
      <w:r>
        <w:rPr>
          <w:rFonts w:hint="eastAsia" w:eastAsia="宋体"/>
        </w:rPr>
        <w:t xml:space="preserve">, </w:t>
      </w:r>
      <w:r>
        <w:rPr>
          <w:rFonts w:eastAsia="宋体"/>
        </w:rPr>
        <w:t xml:space="preserve">there was </w:t>
      </w:r>
      <w:r>
        <w:rPr>
          <w:rFonts w:hint="eastAsia" w:eastAsia="宋体"/>
        </w:rPr>
        <w:t xml:space="preserve">some discussions on the </w:t>
      </w:r>
      <w:r>
        <w:rPr>
          <w:sz w:val="22"/>
        </w:rPr>
        <w:t>Emergency/Voice Fall back from NR to LTE</w:t>
      </w:r>
      <w:r>
        <w:rPr>
          <w:rFonts w:hint="eastAsia"/>
          <w:sz w:val="22"/>
        </w:rPr>
        <w:t xml:space="preserve"> but no agreements were made. </w:t>
      </w:r>
      <w:r>
        <w:rPr>
          <w:sz w:val="22"/>
        </w:rPr>
        <w:t>C</w:t>
      </w:r>
      <w:r>
        <w:rPr>
          <w:rFonts w:hint="eastAsia"/>
          <w:sz w:val="22"/>
        </w:rPr>
        <w:t>oncern</w:t>
      </w:r>
      <w:r>
        <w:rPr>
          <w:sz w:val="22"/>
        </w:rPr>
        <w:t>s</w:t>
      </w:r>
      <w:r>
        <w:rPr>
          <w:rFonts w:hint="eastAsia"/>
          <w:sz w:val="22"/>
        </w:rPr>
        <w:t xml:space="preserve"> about the potential problem with using release with redirect </w:t>
      </w:r>
      <w:r>
        <w:rPr>
          <w:sz w:val="22"/>
        </w:rPr>
        <w:t xml:space="preserve">were raised as there </w:t>
      </w:r>
      <w:r>
        <w:rPr>
          <w:rFonts w:hint="eastAsia"/>
          <w:sz w:val="22"/>
        </w:rPr>
        <w:t xml:space="preserve">could be lack of information on which CN supports emergency services in case of multi core network support in target cell. In this paper, we provide two possible solutions and </w:t>
      </w:r>
      <w:r>
        <w:rPr>
          <w:sz w:val="22"/>
        </w:rPr>
        <w:t>propose a way forward</w:t>
      </w:r>
      <w:r>
        <w:rPr>
          <w:rFonts w:hint="eastAsia"/>
          <w:sz w:val="22"/>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
        <w:rPr>
          <w:rFonts w:hint="eastAsia"/>
        </w:rPr>
        <w:t>In RAN2#101, the following agreements were made:</w:t>
      </w:r>
    </w:p>
    <w:p>
      <w:pPr>
        <w:pStyle w:val="83"/>
        <w:pBdr>
          <w:top w:val="single" w:color="auto" w:sz="4" w:space="1"/>
          <w:left w:val="single" w:color="auto" w:sz="4" w:space="4"/>
          <w:bottom w:val="single" w:color="auto" w:sz="4" w:space="1"/>
          <w:right w:val="single" w:color="auto" w:sz="4" w:space="4"/>
        </w:pBdr>
      </w:pPr>
      <w:r>
        <w:t>Agreements</w:t>
      </w:r>
    </w:p>
    <w:p>
      <w:pPr>
        <w:pStyle w:val="83"/>
        <w:pBdr>
          <w:top w:val="single" w:color="auto" w:sz="4" w:space="1"/>
          <w:left w:val="single" w:color="auto" w:sz="4" w:space="4"/>
          <w:bottom w:val="single" w:color="auto" w:sz="4" w:space="1"/>
          <w:right w:val="single" w:color="auto" w:sz="4" w:space="4"/>
        </w:pBdr>
      </w:pPr>
      <w:r>
        <w:t>1:</w:t>
      </w:r>
      <w:r>
        <w:tab/>
      </w:r>
      <w:r>
        <w:t>EPS fall back to E-UTRAN for voice by HO and redirect procedure are supported. For the HO case no change to the HO procedure is needed compared to any other handover from NR to E-UTRA/EPC.</w:t>
      </w:r>
    </w:p>
    <w:p>
      <w:pPr>
        <w:rPr>
          <w:i/>
          <w:iCs/>
          <w:lang w:val="en-CA" w:eastAsia="ja-JP"/>
        </w:rPr>
      </w:pPr>
      <w:r>
        <w:t>SA2 have agreed the following</w:t>
      </w:r>
      <w:r>
        <w:rPr>
          <w:rFonts w:hint="eastAsia"/>
        </w:rPr>
        <w:t xml:space="preserve"> [1] :</w:t>
      </w:r>
      <w:r>
        <w:t>”</w:t>
      </w:r>
      <w:r>
        <w:rPr>
          <w:rFonts w:hint="eastAsia"/>
        </w:rPr>
        <w:t xml:space="preserve"> </w:t>
      </w:r>
      <w:r>
        <w:rPr>
          <w:rFonts w:hint="eastAsia"/>
          <w:i/>
          <w:iCs/>
        </w:rPr>
        <w:t>i</w:t>
      </w:r>
      <w:r>
        <w:rPr>
          <w:i/>
          <w:iCs/>
          <w:lang w:val="en-CA" w:eastAsia="ja-JP"/>
        </w:rPr>
        <w:t>n order to support various deployment scenarios</w:t>
      </w:r>
      <w:r>
        <w:rPr>
          <w:i/>
          <w:iCs/>
          <w:lang w:val="en-CA"/>
        </w:rPr>
        <w:t xml:space="preserve"> for obtaining Emergency Services</w:t>
      </w:r>
      <w:r>
        <w:rPr>
          <w:i/>
          <w:iCs/>
          <w:lang w:val="en-CA" w:eastAsia="ja-JP"/>
        </w:rPr>
        <w:t xml:space="preserve">, the UE and 5GC may support the mechanism to direct or redirect the UE either towards E-UTRA </w:t>
      </w:r>
      <w:r>
        <w:rPr>
          <w:i/>
          <w:iCs/>
          <w:lang w:val="en-CA"/>
        </w:rPr>
        <w:t xml:space="preserve">connected to 5GC </w:t>
      </w:r>
      <w:r>
        <w:rPr>
          <w:i/>
          <w:iCs/>
          <w:lang w:val="en-CA" w:eastAsia="ja-JP"/>
        </w:rPr>
        <w:t>(RAT fallback)</w:t>
      </w:r>
      <w:r>
        <w:rPr>
          <w:i/>
          <w:iCs/>
          <w:lang w:val="en-CA"/>
        </w:rPr>
        <w:t xml:space="preserve"> when only NR does not support Emergency Services</w:t>
      </w:r>
      <w:r>
        <w:rPr>
          <w:i/>
          <w:iCs/>
          <w:lang w:val="en-CA" w:eastAsia="ja-JP"/>
        </w:rPr>
        <w:t xml:space="preserve"> or towards EPS (</w:t>
      </w:r>
      <w:r>
        <w:rPr>
          <w:i/>
          <w:iCs/>
          <w:lang w:val="en-CA"/>
        </w:rPr>
        <w:t>E-UTRAN connected to EPC</w:t>
      </w:r>
      <w:r>
        <w:rPr>
          <w:i/>
          <w:iCs/>
          <w:lang w:val="en-CA" w:eastAsia="ja-JP"/>
        </w:rPr>
        <w:t xml:space="preserve"> System fallback) </w:t>
      </w:r>
      <w:r>
        <w:rPr>
          <w:i/>
          <w:iCs/>
          <w:lang w:val="en-CA"/>
        </w:rPr>
        <w:t>when the 5GC does not support Emergency Services</w:t>
      </w:r>
      <w:r>
        <w:rPr>
          <w:i/>
          <w:iCs/>
          <w:lang w:val="en-CA" w:eastAsia="ja-JP"/>
        </w:rPr>
        <w:t>.</w:t>
      </w:r>
      <w:r>
        <w:rPr>
          <w:i/>
          <w:iCs/>
        </w:rPr>
        <w:t>”</w:t>
      </w:r>
    </w:p>
    <w:p>
      <w:r>
        <w:t xml:space="preserve">Thus, </w:t>
      </w:r>
      <w:r>
        <w:rPr>
          <w:rFonts w:hint="eastAsia"/>
        </w:rPr>
        <w:t>5GS may, for Emergency Services, trigger one of the following procedures:</w:t>
      </w:r>
    </w:p>
    <w:p>
      <w:r>
        <w:rPr>
          <w:rFonts w:hint="eastAsia"/>
        </w:rPr>
        <w:t>-     Handover or redirection to EPS.</w:t>
      </w:r>
    </w:p>
    <w:p>
      <w:r>
        <w:rPr>
          <w:rFonts w:hint="eastAsia"/>
        </w:rPr>
        <w:t>-     Handover or redirection to E-UTRA connected to 5GC.</w:t>
      </w:r>
    </w:p>
    <w:p>
      <w:r>
        <w:rPr>
          <w:rFonts w:hint="eastAsia"/>
        </w:rPr>
        <w:t xml:space="preserve">As mentioned by SA2, </w:t>
      </w:r>
      <w:r>
        <w:rPr>
          <w:i/>
          <w:iCs/>
        </w:rPr>
        <w:t>“</w:t>
      </w:r>
      <w:r>
        <w:rPr>
          <w:rFonts w:hint="eastAsia"/>
          <w:i/>
          <w:iCs/>
        </w:rPr>
        <w:t>I</w:t>
      </w:r>
      <w:r>
        <w:rPr>
          <w:i/>
          <w:iCs/>
        </w:rPr>
        <w:t>n the N2 procedure, the AMF may indicate the target CN for the RAN node to know whether inter-RAT fallback or inter-system fallback is to be performed.</w:t>
      </w:r>
      <w:r>
        <w:t>”</w:t>
      </w:r>
    </w:p>
    <w:p>
      <w:r>
        <w:rPr>
          <w:rFonts w:hint="eastAsia"/>
        </w:rPr>
        <w:t xml:space="preserve">In [2], concern </w:t>
      </w:r>
      <w:r>
        <w:t xml:space="preserve">was raised </w:t>
      </w:r>
      <w:r>
        <w:rPr>
          <w:rFonts w:hint="eastAsia"/>
        </w:rPr>
        <w:t xml:space="preserve">about the potential problem with using release with redirect </w:t>
      </w:r>
      <w:r>
        <w:t>as there is a</w:t>
      </w:r>
      <w:r>
        <w:rPr>
          <w:rFonts w:hint="eastAsia"/>
        </w:rPr>
        <w:t xml:space="preserve"> lack of information on which CN supports emergency services in case of multi core network support in target cell.</w:t>
      </w:r>
    </w:p>
    <w:p>
      <w:r>
        <w:rPr>
          <w:rFonts w:hint="eastAsia"/>
        </w:rPr>
        <w:t>In our understanding, there maybe two possible solutions for the lack of information on which CN supports emergency services.</w:t>
      </w:r>
    </w:p>
    <w:p>
      <w:pPr>
        <w:rPr>
          <w:u w:val="single"/>
        </w:rPr>
      </w:pPr>
      <w:r>
        <w:rPr>
          <w:rFonts w:hint="eastAsia"/>
          <w:u w:val="single"/>
        </w:rPr>
        <w:t xml:space="preserve">Solution 1: Add </w:t>
      </w:r>
      <w:r>
        <w:rPr>
          <w:rFonts w:hint="eastAsia"/>
          <w:i/>
          <w:iCs/>
          <w:u w:val="single"/>
        </w:rPr>
        <w:t>ims-EmergencySupport-5GC-r15</w:t>
      </w:r>
      <w:r>
        <w:rPr>
          <w:rFonts w:hint="eastAsia"/>
          <w:u w:val="single"/>
        </w:rPr>
        <w:t xml:space="preserve"> in SIB1 in TS 36.331.</w:t>
      </w:r>
    </w:p>
    <w:p>
      <w:r>
        <w:rPr>
          <w:rFonts w:hint="eastAsia"/>
        </w:rPr>
        <w:t xml:space="preserve">In LTE, we have </w:t>
      </w:r>
      <w:r>
        <w:rPr>
          <w:rFonts w:hint="eastAsia"/>
          <w:i/>
          <w:iCs/>
        </w:rPr>
        <w:t>ims-EmergencySupport</w:t>
      </w:r>
      <w:r>
        <w:rPr>
          <w:rFonts w:hint="eastAsia"/>
        </w:rPr>
        <w:t xml:space="preserve"> to indicate whether the cell supports IMS emergency bearer services for UEs in limited service mode.</w:t>
      </w:r>
    </w:p>
    <w:p>
      <w:pPr>
        <w:pStyle w:val="246"/>
        <w:shd w:val="clear" w:color="auto" w:fill="E6E6E6"/>
      </w:pPr>
      <w:r>
        <w:t>SystemInformationBlockType1-v920-IEs ::=</w:t>
      </w:r>
      <w:r>
        <w:tab/>
      </w:r>
      <w:r>
        <w:t>SEQUENCE {</w:t>
      </w:r>
    </w:p>
    <w:p>
      <w:pPr>
        <w:pStyle w:val="246"/>
        <w:shd w:val="clear" w:color="auto" w:fill="E6E6E6"/>
        <w:rPr>
          <w:highlight w:val="yellow"/>
        </w:rPr>
      </w:pPr>
      <w:r>
        <w:rPr>
          <w:highlight w:val="yellow"/>
        </w:rPr>
        <w:tab/>
      </w:r>
      <w:r>
        <w:rPr>
          <w:highlight w:val="yellow"/>
        </w:rPr>
        <w:t>ims-EmergencySupport-r9</w:t>
      </w:r>
      <w:r>
        <w:rPr>
          <w:highlight w:val="yellow"/>
        </w:rPr>
        <w:tab/>
      </w:r>
      <w:r>
        <w:rPr>
          <w:highlight w:val="yellow"/>
        </w:rPr>
        <w:tab/>
      </w:r>
      <w:r>
        <w:rPr>
          <w:highlight w:val="yellow"/>
        </w:rPr>
        <w:tab/>
      </w:r>
      <w:r>
        <w:rPr>
          <w:highlight w:val="yellow"/>
        </w:rPr>
        <w:tab/>
      </w:r>
      <w:r>
        <w:rPr>
          <w:highlight w:val="yellow"/>
        </w:rPr>
        <w:t>ENUMERATED {true}</w:t>
      </w:r>
      <w:r>
        <w:rPr>
          <w:highlight w:val="yellow"/>
        </w:rPr>
        <w:tab/>
      </w:r>
      <w:r>
        <w:rPr>
          <w:highlight w:val="yellow"/>
        </w:rPr>
        <w:tab/>
      </w:r>
      <w:r>
        <w:rPr>
          <w:highlight w:val="yellow"/>
        </w:rPr>
        <w:tab/>
      </w:r>
      <w:r>
        <w:rPr>
          <w:highlight w:val="yellow"/>
        </w:rPr>
        <w:t>OPTIONAL,</w:t>
      </w:r>
      <w:r>
        <w:rPr>
          <w:highlight w:val="yellow"/>
        </w:rPr>
        <w:tab/>
      </w:r>
      <w:r>
        <w:rPr>
          <w:highlight w:val="yellow"/>
        </w:rPr>
        <w:t>-- Need OR</w:t>
      </w:r>
    </w:p>
    <w:p>
      <w:pPr>
        <w:pStyle w:val="246"/>
        <w:shd w:val="clear" w:color="auto" w:fill="E6E6E6"/>
      </w:pPr>
      <w:r>
        <w:tab/>
      </w:r>
      <w:r>
        <w:t>cellSelectionInfo-v920</w:t>
      </w:r>
      <w:r>
        <w:tab/>
      </w:r>
      <w:r>
        <w:tab/>
      </w:r>
      <w:r>
        <w:tab/>
      </w:r>
      <w:r>
        <w:tab/>
      </w:r>
      <w:r>
        <w:t>CellSelectionInfo-v920</w:t>
      </w:r>
      <w:r>
        <w:tab/>
      </w:r>
      <w:r>
        <w:tab/>
      </w:r>
      <w:r>
        <w:t>OPTIONAL,</w:t>
      </w:r>
      <w:r>
        <w:tab/>
      </w:r>
      <w:r>
        <w:t>-- Cond RSRQ</w:t>
      </w:r>
    </w:p>
    <w:p>
      <w:pPr>
        <w:pStyle w:val="246"/>
        <w:shd w:val="clear" w:color="auto" w:fill="E6E6E6"/>
      </w:pPr>
      <w:r>
        <w:tab/>
      </w:r>
      <w:r>
        <w:t>nonCriticalExtension</w:t>
      </w:r>
      <w:r>
        <w:tab/>
      </w:r>
      <w:r>
        <w:tab/>
      </w:r>
      <w:r>
        <w:tab/>
      </w:r>
      <w:r>
        <w:tab/>
      </w:r>
      <w:r>
        <w:t>SystemInformationBlockType1-v1130-IEs</w:t>
      </w:r>
      <w:r>
        <w:tab/>
      </w:r>
      <w:r>
        <w:t>OPTIONAL</w:t>
      </w:r>
    </w:p>
    <w:p>
      <w:pPr>
        <w:pStyle w:val="246"/>
        <w:shd w:val="clear" w:color="auto" w:fill="E6E6E6"/>
      </w:pPr>
      <w:r>
        <w:t>}</w:t>
      </w:r>
    </w:p>
    <w:p>
      <w:r>
        <w:rPr>
          <w:rFonts w:hint="eastAsia"/>
        </w:rPr>
        <w:t xml:space="preserve">A similar </w:t>
      </w:r>
      <w:r>
        <w:rPr>
          <w:rFonts w:hint="eastAsia"/>
          <w:i/>
          <w:iCs/>
        </w:rPr>
        <w:t>ims-EmergencySupport-5GC-r15</w:t>
      </w:r>
      <w:r>
        <w:rPr>
          <w:rFonts w:hint="eastAsia"/>
        </w:rPr>
        <w:t xml:space="preserve"> can also be introduced to indicate whether the cell supports IMS emergency services when connected to 5GC. When the </w:t>
      </w:r>
      <w:r>
        <w:rPr>
          <w:rFonts w:hint="eastAsia"/>
          <w:i/>
          <w:iCs/>
        </w:rPr>
        <w:t>ims-EmergencySupport-5GC-r15</w:t>
      </w:r>
      <w:r>
        <w:rPr>
          <w:rFonts w:hint="eastAsia"/>
        </w:rPr>
        <w:t xml:space="preserve"> is set to </w:t>
      </w:r>
      <w:r>
        <w:t>“</w:t>
      </w:r>
      <w:r>
        <w:rPr>
          <w:rFonts w:hint="eastAsia"/>
        </w:rPr>
        <w:t>true</w:t>
      </w:r>
      <w:r>
        <w:t>”</w:t>
      </w:r>
      <w:r>
        <w:rPr>
          <w:rFonts w:hint="eastAsia"/>
        </w:rPr>
        <w:t>, it is possible to redirect the UE to E-UTRA connected to 5GC. Otherwise, UE can only be redirected to EPS.</w:t>
      </w:r>
    </w:p>
    <w:p>
      <w:r>
        <w:rPr>
          <w:rFonts w:hint="eastAsia"/>
        </w:rPr>
        <w:t>The release with redirect procedure is used to redirect the UE to an NR or E</w:t>
      </w:r>
      <w:r>
        <w:rPr>
          <w:rFonts w:hint="eastAsia"/>
        </w:rPr>
        <w:noBreakHyphen/>
      </w:r>
      <w:r>
        <w:rPr>
          <w:rFonts w:hint="eastAsia"/>
        </w:rPr>
        <w:t xml:space="preserve">UTRA carrier frequency, by means of the cell selection upon leaving RRC_CONNECTED. During the cell selection procedure, UE can take the </w:t>
      </w:r>
      <w:r>
        <w:rPr>
          <w:rFonts w:hint="eastAsia"/>
          <w:i/>
          <w:iCs/>
        </w:rPr>
        <w:t>redirectedCarrierInfo</w:t>
      </w:r>
      <w:r>
        <w:rPr>
          <w:rFonts w:hint="eastAsia"/>
        </w:rPr>
        <w:t xml:space="preserve"> and the </w:t>
      </w:r>
      <w:r>
        <w:rPr>
          <w:rFonts w:hint="eastAsia"/>
          <w:i/>
          <w:iCs/>
        </w:rPr>
        <w:t>ims-EmergencySupport-5GC-r15</w:t>
      </w:r>
      <w:r>
        <w:rPr>
          <w:rFonts w:hint="eastAsia"/>
        </w:rPr>
        <w:t xml:space="preserve"> into consideration to select a suitable CN type.</w:t>
      </w:r>
    </w:p>
    <w:p>
      <w:r>
        <w:rPr>
          <w:rFonts w:hint="eastAsia"/>
        </w:rPr>
        <w:t xml:space="preserve">An example of the ASN.1 structure of adding the </w:t>
      </w:r>
      <w:r>
        <w:rPr>
          <w:rFonts w:hint="eastAsia"/>
          <w:i/>
          <w:iCs/>
        </w:rPr>
        <w:t xml:space="preserve">ims-EmergencySupport-5GC-r15 </w:t>
      </w:r>
      <w:r>
        <w:rPr>
          <w:rFonts w:hint="eastAsia"/>
        </w:rPr>
        <w:t>is given as follows and one single bit will be sufficient for such indication:</w:t>
      </w:r>
    </w:p>
    <w:p>
      <w:pPr>
        <w:pStyle w:val="246"/>
        <w:shd w:val="clear" w:color="auto" w:fill="E6E6E6"/>
        <w:rPr>
          <w:lang w:eastAsia="zh-CN"/>
        </w:rPr>
      </w:pPr>
      <w:r>
        <w:rPr>
          <w:rFonts w:hint="eastAsia"/>
          <w:lang w:eastAsia="zh-CN"/>
        </w:rPr>
        <w:t>SystemInformationBlockType1-v15xy-IEs ::=</w:t>
      </w:r>
      <w:r>
        <w:rPr>
          <w:rFonts w:hint="eastAsia"/>
          <w:lang w:eastAsia="zh-CN"/>
        </w:rPr>
        <w:tab/>
      </w:r>
      <w:r>
        <w:rPr>
          <w:rFonts w:hint="eastAsia"/>
          <w:lang w:eastAsia="zh-CN"/>
        </w:rPr>
        <w:t>SEQUENCE {</w:t>
      </w:r>
    </w:p>
    <w:p>
      <w:pPr>
        <w:pStyle w:val="246"/>
        <w:shd w:val="clear" w:color="auto" w:fill="E6E6E6"/>
        <w:rPr>
          <w:lang w:eastAsia="zh-CN"/>
        </w:rPr>
      </w:pPr>
      <w:r>
        <w:rPr>
          <w:highlight w:val="yellow"/>
        </w:rPr>
        <w:tab/>
      </w:r>
      <w:r>
        <w:rPr>
          <w:highlight w:val="yellow"/>
        </w:rPr>
        <w:t>ims-EmergencySupport</w:t>
      </w:r>
      <w:r>
        <w:rPr>
          <w:rFonts w:hint="eastAsia" w:eastAsia="宋体"/>
          <w:highlight w:val="yellow"/>
          <w:lang w:eastAsia="zh-CN"/>
        </w:rPr>
        <w:t>-5GC</w:t>
      </w:r>
      <w:r>
        <w:rPr>
          <w:highlight w:val="yellow"/>
        </w:rPr>
        <w:t>-r</w:t>
      </w:r>
      <w:r>
        <w:rPr>
          <w:rFonts w:hint="eastAsia" w:eastAsia="宋体"/>
          <w:highlight w:val="yellow"/>
          <w:lang w:eastAsia="zh-CN"/>
        </w:rPr>
        <w:t>15</w:t>
      </w:r>
      <w:r>
        <w:rPr>
          <w:highlight w:val="yellow"/>
        </w:rPr>
        <w:tab/>
      </w:r>
      <w:r>
        <w:rPr>
          <w:highlight w:val="yellow"/>
        </w:rPr>
        <w:tab/>
      </w:r>
      <w:r>
        <w:rPr>
          <w:highlight w:val="yellow"/>
        </w:rPr>
        <w:tab/>
      </w:r>
      <w:r>
        <w:rPr>
          <w:highlight w:val="yellow"/>
        </w:rPr>
        <w:tab/>
      </w:r>
      <w:r>
        <w:rPr>
          <w:highlight w:val="yellow"/>
        </w:rPr>
        <w:t>ENUMERATED {true}</w:t>
      </w:r>
      <w:r>
        <w:rPr>
          <w:highlight w:val="yellow"/>
        </w:rPr>
        <w:tab/>
      </w:r>
      <w:r>
        <w:rPr>
          <w:highlight w:val="yellow"/>
        </w:rPr>
        <w:tab/>
      </w:r>
      <w:r>
        <w:rPr>
          <w:highlight w:val="yellow"/>
        </w:rPr>
        <w:tab/>
      </w:r>
      <w:r>
        <w:rPr>
          <w:highlight w:val="yellow"/>
        </w:rPr>
        <w:t>OPTIONAL,</w:t>
      </w:r>
      <w:r>
        <w:rPr>
          <w:highlight w:val="yellow"/>
        </w:rPr>
        <w:tab/>
      </w:r>
      <w:r>
        <w:rPr>
          <w:highlight w:val="yellow"/>
        </w:rPr>
        <w:t>-- Need OR</w:t>
      </w:r>
    </w:p>
    <w:p>
      <w:pPr>
        <w:pStyle w:val="246"/>
        <w:shd w:val="clear" w:color="auto" w:fill="E6E6E6"/>
        <w:rPr>
          <w:lang w:eastAsia="zh-CN"/>
        </w:rPr>
      </w:pPr>
      <w:r>
        <w:rPr>
          <w:rFonts w:hint="eastAsia"/>
          <w:lang w:eastAsia="zh-CN"/>
        </w:rPr>
        <w:tab/>
      </w:r>
      <w:r>
        <w:rPr>
          <w:rFonts w:hint="eastAsia"/>
          <w:lang w:eastAsia="zh-CN"/>
        </w:rPr>
        <w:t>nonCriticalExtension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SEQUENCE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OPTIONAL</w:t>
      </w:r>
    </w:p>
    <w:p>
      <w:pPr>
        <w:pStyle w:val="246"/>
        <w:shd w:val="clear" w:color="auto" w:fill="E6E6E6"/>
        <w:rPr>
          <w:lang w:eastAsia="zh-CN"/>
        </w:rPr>
      </w:pPr>
      <w:r>
        <w:rPr>
          <w:rFonts w:hint="eastAsia"/>
          <w:lang w:eastAsia="zh-CN"/>
        </w:rPr>
        <w:t>}</w:t>
      </w:r>
    </w:p>
    <w:p/>
    <w:p>
      <w:pPr>
        <w:rPr>
          <w:u w:val="single"/>
        </w:rPr>
      </w:pPr>
      <w:r>
        <w:rPr>
          <w:rFonts w:hint="eastAsia"/>
          <w:u w:val="single"/>
        </w:rPr>
        <w:t>Solution 2: Include the target CN type in the release with redirect command towards the UE.</w:t>
      </w:r>
    </w:p>
    <w:p>
      <w:r>
        <w:rPr>
          <w:rFonts w:hint="eastAsia"/>
        </w:rPr>
        <w:t>As suggested in [2], to ensure that the UE camp on a suitable core network for setting up emergency services after a release with redirect, the N2 procedure triggered by AMF towards RAN also includes the core network to connect to after release with redirect. The RAN can then include this information in the release with redirect command towards the UE.</w:t>
      </w:r>
    </w:p>
    <w:p>
      <w:r>
        <w:rPr>
          <w:rFonts w:hint="eastAsia"/>
        </w:rPr>
        <w:t xml:space="preserve">Generally, both solution 1 and solution 2 can work. We prefer solution 1 as such indication for 5GC will anyway be </w:t>
      </w:r>
      <w:r>
        <w:t>needed</w:t>
      </w:r>
      <w:r>
        <w:rPr>
          <w:rFonts w:hint="eastAsia"/>
        </w:rPr>
        <w:t xml:space="preserve"> in SIB1 for EUTRA connected to 5GC </w:t>
      </w:r>
      <w:r>
        <w:t>regardless of</w:t>
      </w:r>
      <w:r>
        <w:rPr>
          <w:rFonts w:hint="eastAsia"/>
        </w:rPr>
        <w:t xml:space="preserve"> the problem mentioned above for emergency fallback</w:t>
      </w:r>
      <w:r>
        <w:t xml:space="preserve"> (e.g. to support the UEs in limited service state)</w:t>
      </w:r>
      <w:r>
        <w:rPr>
          <w:rFonts w:hint="eastAsia"/>
        </w:rPr>
        <w:t>. Thus, we have the following proposal:</w:t>
      </w:r>
    </w:p>
    <w:p/>
    <w:p>
      <w:pPr>
        <w:rPr>
          <w:b/>
          <w:bCs/>
        </w:rPr>
      </w:pPr>
      <w:r>
        <w:rPr>
          <w:rFonts w:hint="eastAsia"/>
          <w:b/>
          <w:bCs/>
        </w:rPr>
        <w:t xml:space="preserve">Proposal: Introduce </w:t>
      </w:r>
      <w:r>
        <w:rPr>
          <w:rFonts w:hint="eastAsia"/>
          <w:b/>
          <w:bCs/>
          <w:i/>
          <w:iCs/>
        </w:rPr>
        <w:t>ims-EmergencySupport-5GC-r15</w:t>
      </w:r>
      <w:r>
        <w:rPr>
          <w:rFonts w:hint="eastAsia"/>
          <w:b/>
          <w:bCs/>
        </w:rPr>
        <w:t xml:space="preserve"> for EUTRA connected to 5GC in SIB1 to indicate whether the cell supports IMS emergency services or not when connected to 5GC.</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rPr>
          <w:rFonts w:hint="eastAsia"/>
        </w:rPr>
        <w:t>With the above analysis, we have the following proposal:</w:t>
      </w:r>
    </w:p>
    <w:p>
      <w:pPr>
        <w:rPr>
          <w:b/>
          <w:bCs/>
        </w:rPr>
      </w:pPr>
      <w:r>
        <w:rPr>
          <w:rFonts w:hint="eastAsia"/>
          <w:b/>
          <w:bCs/>
        </w:rPr>
        <w:t xml:space="preserve">Proposal: Introduce </w:t>
      </w:r>
      <w:r>
        <w:rPr>
          <w:rFonts w:hint="eastAsia"/>
          <w:b/>
          <w:bCs/>
          <w:i/>
          <w:iCs/>
        </w:rPr>
        <w:t>ims-EmergencySupport-5GC-r15</w:t>
      </w:r>
      <w:r>
        <w:rPr>
          <w:rFonts w:hint="eastAsia"/>
          <w:b/>
          <w:bCs/>
        </w:rPr>
        <w:t xml:space="preserve"> for EUTRA connected to 5GC in SIB1 to indicate whether the cell supports IMS emergency services or not when connected to 5GC.</w:t>
      </w:r>
      <w:bookmarkStart w:id="3" w:name="_GoBack"/>
      <w:bookmarkEnd w:id="3"/>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4"/>
        </w:numPr>
        <w:ind w:firstLineChars="0"/>
      </w:pPr>
      <w:r>
        <w:rPr>
          <w:rFonts w:hint="eastAsia"/>
        </w:rPr>
        <w:t>TS 23.501</w:t>
      </w:r>
    </w:p>
    <w:p>
      <w:pPr>
        <w:pStyle w:val="68"/>
        <w:numPr>
          <w:ilvl w:val="0"/>
          <w:numId w:val="4"/>
        </w:numPr>
        <w:ind w:firstLineChars="0"/>
      </w:pPr>
      <w:r>
        <w:rPr>
          <w:rFonts w:hint="eastAsia"/>
        </w:rPr>
        <w:t>R2-1804862, Emergency/Voice Fall back from NR to LTE, Ericsson</w:t>
      </w:r>
    </w:p>
    <w:p>
      <w:bookmarkStart w:id="2" w:name="_Ref513105034"/>
      <w:bookmarkEnd w:id="2"/>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9"/>
      </w:rPr>
    </w:pPr>
    <w:r>
      <w:rPr>
        <w:rStyle w:val="59"/>
      </w:rPr>
      <w:fldChar w:fldCharType="begin"/>
    </w:r>
    <w:r>
      <w:rPr>
        <w:rStyle w:val="59"/>
      </w:rPr>
      <w:instrText xml:space="preserve">PAGE  </w:instrText>
    </w:r>
    <w:r>
      <w:rPr>
        <w:rStyle w:val="59"/>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5"/>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EE46544"/>
    <w:multiLevelType w:val="multilevel"/>
    <w:tmpl w:val="3EE4654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1F00"/>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6659E"/>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73D2"/>
    <w:rsid w:val="007577AC"/>
    <w:rsid w:val="00760C49"/>
    <w:rsid w:val="007626A2"/>
    <w:rsid w:val="00762E00"/>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6952"/>
    <w:rsid w:val="009D7F9A"/>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2B3D"/>
    <w:rsid w:val="00E6315A"/>
    <w:rsid w:val="00E63986"/>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02105BCC"/>
    <w:rsid w:val="0213188C"/>
    <w:rsid w:val="02437D3E"/>
    <w:rsid w:val="027F11AC"/>
    <w:rsid w:val="02B219C0"/>
    <w:rsid w:val="03CD3963"/>
    <w:rsid w:val="04080018"/>
    <w:rsid w:val="04115871"/>
    <w:rsid w:val="04231D6E"/>
    <w:rsid w:val="04746FED"/>
    <w:rsid w:val="04865192"/>
    <w:rsid w:val="04ED7669"/>
    <w:rsid w:val="054C7D1C"/>
    <w:rsid w:val="06017CE0"/>
    <w:rsid w:val="06365B50"/>
    <w:rsid w:val="065E6CDE"/>
    <w:rsid w:val="068A20E4"/>
    <w:rsid w:val="07847096"/>
    <w:rsid w:val="08242518"/>
    <w:rsid w:val="088F268A"/>
    <w:rsid w:val="0AAE3FA8"/>
    <w:rsid w:val="0B560B94"/>
    <w:rsid w:val="0B94771A"/>
    <w:rsid w:val="0BF83F28"/>
    <w:rsid w:val="0C755CB5"/>
    <w:rsid w:val="0CE46F4E"/>
    <w:rsid w:val="0CFF1F19"/>
    <w:rsid w:val="0D064EBC"/>
    <w:rsid w:val="0D346C04"/>
    <w:rsid w:val="0D665E9D"/>
    <w:rsid w:val="0D7A3592"/>
    <w:rsid w:val="0DA01929"/>
    <w:rsid w:val="0E451456"/>
    <w:rsid w:val="0EA4482A"/>
    <w:rsid w:val="0EA926E0"/>
    <w:rsid w:val="0F685729"/>
    <w:rsid w:val="0F70152C"/>
    <w:rsid w:val="0FC774E2"/>
    <w:rsid w:val="102F5257"/>
    <w:rsid w:val="103E22B2"/>
    <w:rsid w:val="10910A6C"/>
    <w:rsid w:val="110F2DD6"/>
    <w:rsid w:val="111E737C"/>
    <w:rsid w:val="11FD0D0E"/>
    <w:rsid w:val="1246114C"/>
    <w:rsid w:val="1357550B"/>
    <w:rsid w:val="13933000"/>
    <w:rsid w:val="145A1D5A"/>
    <w:rsid w:val="155D0A7F"/>
    <w:rsid w:val="15D207CA"/>
    <w:rsid w:val="15DD4A1C"/>
    <w:rsid w:val="16263368"/>
    <w:rsid w:val="16D135BA"/>
    <w:rsid w:val="18440068"/>
    <w:rsid w:val="190E7C32"/>
    <w:rsid w:val="191C173D"/>
    <w:rsid w:val="19BC030D"/>
    <w:rsid w:val="1AD6153D"/>
    <w:rsid w:val="1ADA55B5"/>
    <w:rsid w:val="1ADC1643"/>
    <w:rsid w:val="1CC330B9"/>
    <w:rsid w:val="1CE122CF"/>
    <w:rsid w:val="1D2F1D46"/>
    <w:rsid w:val="1D51270F"/>
    <w:rsid w:val="1DBD16BE"/>
    <w:rsid w:val="1E6A558A"/>
    <w:rsid w:val="1E780410"/>
    <w:rsid w:val="1E8E5EF5"/>
    <w:rsid w:val="1EC76DC7"/>
    <w:rsid w:val="1EC85A19"/>
    <w:rsid w:val="1ED92D03"/>
    <w:rsid w:val="1F1B6A59"/>
    <w:rsid w:val="1FE31889"/>
    <w:rsid w:val="210114BB"/>
    <w:rsid w:val="2176492F"/>
    <w:rsid w:val="21E26D67"/>
    <w:rsid w:val="220348F7"/>
    <w:rsid w:val="223D0AE9"/>
    <w:rsid w:val="23BB170D"/>
    <w:rsid w:val="243870BC"/>
    <w:rsid w:val="24725314"/>
    <w:rsid w:val="248C391F"/>
    <w:rsid w:val="25493BC7"/>
    <w:rsid w:val="25E540FF"/>
    <w:rsid w:val="25FE3FFD"/>
    <w:rsid w:val="260E6535"/>
    <w:rsid w:val="26533224"/>
    <w:rsid w:val="26C54B9B"/>
    <w:rsid w:val="26C6512F"/>
    <w:rsid w:val="28523A0F"/>
    <w:rsid w:val="285C6B52"/>
    <w:rsid w:val="28A843B1"/>
    <w:rsid w:val="298D0F22"/>
    <w:rsid w:val="2AAA79B8"/>
    <w:rsid w:val="2B510311"/>
    <w:rsid w:val="2BA13AB1"/>
    <w:rsid w:val="2C4C5BF6"/>
    <w:rsid w:val="2F4558F1"/>
    <w:rsid w:val="2F784790"/>
    <w:rsid w:val="2F7B36A8"/>
    <w:rsid w:val="2FAA5E1A"/>
    <w:rsid w:val="2FAB4623"/>
    <w:rsid w:val="2FDF6214"/>
    <w:rsid w:val="2FE90256"/>
    <w:rsid w:val="3095526B"/>
    <w:rsid w:val="30FD79BE"/>
    <w:rsid w:val="315D1164"/>
    <w:rsid w:val="31B62FDB"/>
    <w:rsid w:val="32466842"/>
    <w:rsid w:val="32F653C3"/>
    <w:rsid w:val="33052E5A"/>
    <w:rsid w:val="3386250E"/>
    <w:rsid w:val="353A08BE"/>
    <w:rsid w:val="35902DE1"/>
    <w:rsid w:val="35FB4DE7"/>
    <w:rsid w:val="3601613B"/>
    <w:rsid w:val="36645310"/>
    <w:rsid w:val="378C59A0"/>
    <w:rsid w:val="37D1690E"/>
    <w:rsid w:val="38BB1341"/>
    <w:rsid w:val="3A074B96"/>
    <w:rsid w:val="3AC0155C"/>
    <w:rsid w:val="3AD71F6B"/>
    <w:rsid w:val="3BC4115E"/>
    <w:rsid w:val="3BCD4D79"/>
    <w:rsid w:val="3BFF77BC"/>
    <w:rsid w:val="3C0A7F70"/>
    <w:rsid w:val="3C1A6E6A"/>
    <w:rsid w:val="3C456A68"/>
    <w:rsid w:val="3D246E5A"/>
    <w:rsid w:val="3D4A1496"/>
    <w:rsid w:val="3D870953"/>
    <w:rsid w:val="3DE976C2"/>
    <w:rsid w:val="3EBC46E0"/>
    <w:rsid w:val="3ED7181A"/>
    <w:rsid w:val="3F24498F"/>
    <w:rsid w:val="3F4F005D"/>
    <w:rsid w:val="3F8D1F32"/>
    <w:rsid w:val="3F970FDB"/>
    <w:rsid w:val="40814873"/>
    <w:rsid w:val="41AA6FCA"/>
    <w:rsid w:val="421604DA"/>
    <w:rsid w:val="42C52579"/>
    <w:rsid w:val="43124C8D"/>
    <w:rsid w:val="433F610A"/>
    <w:rsid w:val="43403246"/>
    <w:rsid w:val="437E013B"/>
    <w:rsid w:val="43F4135D"/>
    <w:rsid w:val="445E0466"/>
    <w:rsid w:val="44C6742D"/>
    <w:rsid w:val="44C70D28"/>
    <w:rsid w:val="45282A9A"/>
    <w:rsid w:val="453C14B9"/>
    <w:rsid w:val="4591536E"/>
    <w:rsid w:val="460556A8"/>
    <w:rsid w:val="461E4FA6"/>
    <w:rsid w:val="46966726"/>
    <w:rsid w:val="48376C36"/>
    <w:rsid w:val="48934611"/>
    <w:rsid w:val="4937283B"/>
    <w:rsid w:val="49714D36"/>
    <w:rsid w:val="4B7B2508"/>
    <w:rsid w:val="4B813827"/>
    <w:rsid w:val="4B975530"/>
    <w:rsid w:val="4C644BBF"/>
    <w:rsid w:val="4C653585"/>
    <w:rsid w:val="4CCB0ABF"/>
    <w:rsid w:val="4D1E6E23"/>
    <w:rsid w:val="4E214745"/>
    <w:rsid w:val="4E876A80"/>
    <w:rsid w:val="4E881A6F"/>
    <w:rsid w:val="4EB46112"/>
    <w:rsid w:val="4ECC4E51"/>
    <w:rsid w:val="4F3E1F4C"/>
    <w:rsid w:val="4FE76145"/>
    <w:rsid w:val="503C1FA1"/>
    <w:rsid w:val="505E14C8"/>
    <w:rsid w:val="51120212"/>
    <w:rsid w:val="51A646BE"/>
    <w:rsid w:val="51D10C5E"/>
    <w:rsid w:val="53365D5D"/>
    <w:rsid w:val="5346574A"/>
    <w:rsid w:val="53BF4002"/>
    <w:rsid w:val="54C1659F"/>
    <w:rsid w:val="54F6543C"/>
    <w:rsid w:val="558D3CDA"/>
    <w:rsid w:val="5A13072C"/>
    <w:rsid w:val="5A3A1F94"/>
    <w:rsid w:val="5A525FC1"/>
    <w:rsid w:val="5A6123EF"/>
    <w:rsid w:val="5B3E3B02"/>
    <w:rsid w:val="5BB85E2E"/>
    <w:rsid w:val="5DB0276A"/>
    <w:rsid w:val="5E671789"/>
    <w:rsid w:val="5E6A2D60"/>
    <w:rsid w:val="602316C2"/>
    <w:rsid w:val="60A26AC3"/>
    <w:rsid w:val="615F2167"/>
    <w:rsid w:val="61653414"/>
    <w:rsid w:val="61981A00"/>
    <w:rsid w:val="62B6094A"/>
    <w:rsid w:val="63E9343E"/>
    <w:rsid w:val="63FC1FB2"/>
    <w:rsid w:val="640F43C5"/>
    <w:rsid w:val="64341720"/>
    <w:rsid w:val="64512DAE"/>
    <w:rsid w:val="646A695C"/>
    <w:rsid w:val="649E1E5A"/>
    <w:rsid w:val="65753498"/>
    <w:rsid w:val="65884515"/>
    <w:rsid w:val="66940A39"/>
    <w:rsid w:val="66B721E6"/>
    <w:rsid w:val="66ED62BD"/>
    <w:rsid w:val="671A520A"/>
    <w:rsid w:val="67CE4F0A"/>
    <w:rsid w:val="67F65281"/>
    <w:rsid w:val="680509F9"/>
    <w:rsid w:val="68486434"/>
    <w:rsid w:val="695F65E7"/>
    <w:rsid w:val="69611F8C"/>
    <w:rsid w:val="69797C2C"/>
    <w:rsid w:val="697B2AE1"/>
    <w:rsid w:val="699E5530"/>
    <w:rsid w:val="6B5A41AF"/>
    <w:rsid w:val="6B6A7091"/>
    <w:rsid w:val="6BD92C40"/>
    <w:rsid w:val="6C477A25"/>
    <w:rsid w:val="6CDA05DD"/>
    <w:rsid w:val="6D2B1D59"/>
    <w:rsid w:val="6D442267"/>
    <w:rsid w:val="6E527A2D"/>
    <w:rsid w:val="6E847F11"/>
    <w:rsid w:val="6EFC3550"/>
    <w:rsid w:val="6F886E71"/>
    <w:rsid w:val="70853BCC"/>
    <w:rsid w:val="70B4157B"/>
    <w:rsid w:val="710A3270"/>
    <w:rsid w:val="71306252"/>
    <w:rsid w:val="71582587"/>
    <w:rsid w:val="716621C1"/>
    <w:rsid w:val="7229660D"/>
    <w:rsid w:val="72C740ED"/>
    <w:rsid w:val="72EB533D"/>
    <w:rsid w:val="746B647F"/>
    <w:rsid w:val="75530645"/>
    <w:rsid w:val="755F2C4C"/>
    <w:rsid w:val="7594489B"/>
    <w:rsid w:val="75BB57A4"/>
    <w:rsid w:val="75DF5DB2"/>
    <w:rsid w:val="760278C7"/>
    <w:rsid w:val="762E5891"/>
    <w:rsid w:val="76A67DFC"/>
    <w:rsid w:val="770850B6"/>
    <w:rsid w:val="772C60B7"/>
    <w:rsid w:val="776B46B2"/>
    <w:rsid w:val="77F2612E"/>
    <w:rsid w:val="786A6869"/>
    <w:rsid w:val="78AF7669"/>
    <w:rsid w:val="78D15EAD"/>
    <w:rsid w:val="78D30F9B"/>
    <w:rsid w:val="799C2D8A"/>
    <w:rsid w:val="7AC00197"/>
    <w:rsid w:val="7AE02ABC"/>
    <w:rsid w:val="7B0562CD"/>
    <w:rsid w:val="7B2C1EB5"/>
    <w:rsid w:val="7B3D550E"/>
    <w:rsid w:val="7B550266"/>
    <w:rsid w:val="7BF84150"/>
    <w:rsid w:val="7C1643B1"/>
    <w:rsid w:val="7CC623BD"/>
    <w:rsid w:val="7CFD4431"/>
    <w:rsid w:val="7D207A95"/>
    <w:rsid w:val="7E12789C"/>
    <w:rsid w:val="7E45572A"/>
    <w:rsid w:val="7E57165F"/>
    <w:rsid w:val="7E5F43A3"/>
    <w:rsid w:val="7EA617D8"/>
    <w:rsid w:val="7EA96A04"/>
    <w:rsid w:val="7EF24838"/>
    <w:rsid w:val="7F084B75"/>
    <w:rsid w:val="7FA15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4"/>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5">
    <w:name w:val="heading 3"/>
    <w:basedOn w:val="1"/>
    <w:next w:val="1"/>
    <w:link w:val="72"/>
    <w:qFormat/>
    <w:uiPriority w:val="0"/>
    <w:pPr>
      <w:keepNext/>
      <w:keepLines/>
      <w:numPr>
        <w:ilvl w:val="2"/>
        <w:numId w:val="1"/>
      </w:numPr>
      <w:spacing w:before="260" w:after="260" w:line="416" w:lineRule="auto"/>
      <w:outlineLvl w:val="2"/>
    </w:pPr>
    <w:rPr>
      <w:b/>
      <w:bCs/>
      <w:sz w:val="32"/>
      <w:szCs w:val="32"/>
    </w:rPr>
  </w:style>
  <w:style w:type="paragraph" w:styleId="6">
    <w:name w:val="heading 4"/>
    <w:basedOn w:val="1"/>
    <w:next w:val="1"/>
    <w:link w:val="73"/>
    <w:qFormat/>
    <w:uiPriority w:val="0"/>
    <w:pPr>
      <w:keepNext/>
      <w:keepLines/>
      <w:tabs>
        <w:tab w:val="left" w:pos="864"/>
        <w:tab w:val="left" w:pos="2071"/>
      </w:tabs>
      <w:spacing w:before="280" w:after="290" w:line="372" w:lineRule="auto"/>
      <w:ind w:left="1884" w:hanging="528"/>
      <w:outlineLvl w:val="3"/>
    </w:pPr>
    <w:rPr>
      <w:rFonts w:ascii="Arial" w:hAnsi="Arial" w:eastAsia="黑体"/>
      <w:b/>
      <w:sz w:val="28"/>
    </w:rPr>
  </w:style>
  <w:style w:type="paragraph" w:styleId="7">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8">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9">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10">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1">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5">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12">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3">
    <w:name w:val="annotation subject"/>
    <w:basedOn w:val="14"/>
    <w:next w:val="14"/>
    <w:link w:val="92"/>
    <w:semiHidden/>
    <w:qFormat/>
    <w:uiPriority w:val="0"/>
    <w:pPr>
      <w:widowControl/>
      <w:spacing w:before="40"/>
    </w:pPr>
    <w:rPr>
      <w:rFonts w:ascii="Arial" w:hAnsi="Arial" w:eastAsia="MS Mincho"/>
      <w:b/>
      <w:bCs/>
      <w:kern w:val="0"/>
      <w:sz w:val="20"/>
      <w:szCs w:val="20"/>
      <w:lang w:val="en-GB" w:eastAsia="en-GB"/>
    </w:rPr>
  </w:style>
  <w:style w:type="paragraph" w:styleId="14">
    <w:name w:val="annotation text"/>
    <w:basedOn w:val="1"/>
    <w:link w:val="176"/>
    <w:unhideWhenUsed/>
    <w:qFormat/>
    <w:uiPriority w:val="0"/>
    <w:pPr>
      <w:jc w:val="left"/>
    </w:pPr>
  </w:style>
  <w:style w:type="paragraph" w:styleId="15">
    <w:name w:val="toc 7"/>
    <w:basedOn w:val="1"/>
    <w:next w:val="1"/>
    <w:qFormat/>
    <w:uiPriority w:val="0"/>
    <w:pPr>
      <w:tabs>
        <w:tab w:val="right" w:leader="dot" w:pos="9241"/>
      </w:tabs>
      <w:ind w:firstLine="500" w:firstLineChars="500"/>
      <w:jc w:val="left"/>
    </w:pPr>
    <w:rPr>
      <w:rFonts w:ascii="宋体"/>
      <w:szCs w:val="21"/>
    </w:rPr>
  </w:style>
  <w:style w:type="paragraph" w:styleId="16">
    <w:name w:val="List Number 2"/>
    <w:basedOn w:val="17"/>
    <w:qFormat/>
    <w:uiPriority w:val="0"/>
    <w:pPr>
      <w:ind w:left="851"/>
    </w:pPr>
  </w:style>
  <w:style w:type="paragraph" w:styleId="17">
    <w:name w:val="List Number"/>
    <w:basedOn w:val="18"/>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8">
    <w:name w:val="List"/>
    <w:basedOn w:val="1"/>
    <w:unhideWhenUsed/>
    <w:qFormat/>
    <w:uiPriority w:val="0"/>
    <w:pPr>
      <w:ind w:left="200" w:hanging="200" w:hangingChars="200"/>
      <w:contextualSpacing/>
    </w:p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90"/>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69"/>
    <w:unhideWhenUsed/>
    <w:qFormat/>
    <w:uiPriority w:val="0"/>
    <w:rPr>
      <w:rFonts w:ascii="宋体"/>
      <w:sz w:val="18"/>
      <w:szCs w:val="18"/>
    </w:r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9"/>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7"/>
    <w:unhideWhenUsed/>
    <w:qFormat/>
    <w:uiPriority w:val="0"/>
    <w:rPr>
      <w:sz w:val="18"/>
      <w:szCs w:val="18"/>
    </w:rPr>
  </w:style>
  <w:style w:type="paragraph" w:styleId="38">
    <w:name w:val="footer"/>
    <w:basedOn w:val="1"/>
    <w:link w:val="113"/>
    <w:qFormat/>
    <w:uiPriority w:val="99"/>
    <w:pPr>
      <w:tabs>
        <w:tab w:val="center" w:pos="4153"/>
        <w:tab w:val="right" w:pos="8306"/>
      </w:tabs>
      <w:snapToGrid w:val="0"/>
      <w:jc w:val="left"/>
    </w:pPr>
    <w:rPr>
      <w:sz w:val="18"/>
      <w:szCs w:val="18"/>
    </w:rPr>
  </w:style>
  <w:style w:type="paragraph" w:styleId="39">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50"/>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2"/>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Strong"/>
    <w:basedOn w:val="56"/>
    <w:qFormat/>
    <w:uiPriority w:val="22"/>
    <w:rPr>
      <w:b/>
    </w:rPr>
  </w:style>
  <w:style w:type="character" w:styleId="58">
    <w:name w:val="endnote reference"/>
    <w:basedOn w:val="56"/>
    <w:qFormat/>
    <w:uiPriority w:val="0"/>
    <w:rPr>
      <w:vertAlign w:val="superscript"/>
    </w:rPr>
  </w:style>
  <w:style w:type="character" w:styleId="59">
    <w:name w:val="page number"/>
    <w:basedOn w:val="56"/>
    <w:qFormat/>
    <w:uiPriority w:val="0"/>
  </w:style>
  <w:style w:type="character" w:styleId="60">
    <w:name w:val="FollowedHyperlink"/>
    <w:basedOn w:val="56"/>
    <w:qFormat/>
    <w:uiPriority w:val="0"/>
    <w:rPr>
      <w:color w:val="800080"/>
      <w:u w:val="single"/>
    </w:rPr>
  </w:style>
  <w:style w:type="character" w:styleId="61">
    <w:name w:val="Emphasis"/>
    <w:qFormat/>
    <w:uiPriority w:val="0"/>
    <w:rPr>
      <w:i/>
      <w:iCs/>
    </w:rPr>
  </w:style>
  <w:style w:type="character" w:styleId="62">
    <w:name w:val="Hyperlink"/>
    <w:basedOn w:val="56"/>
    <w:qFormat/>
    <w:uiPriority w:val="99"/>
    <w:rPr>
      <w:color w:val="0000FF"/>
      <w:spacing w:val="0"/>
      <w:w w:val="100"/>
      <w:szCs w:val="21"/>
      <w:u w:val="single"/>
      <w:lang w:val="en-US" w:eastAsia="zh-CN"/>
    </w:rPr>
  </w:style>
  <w:style w:type="character" w:styleId="63">
    <w:name w:val="annotation reference"/>
    <w:qFormat/>
    <w:uiPriority w:val="0"/>
    <w:rPr>
      <w:sz w:val="16"/>
    </w:rPr>
  </w:style>
  <w:style w:type="character" w:styleId="64">
    <w:name w:val="footnote reference"/>
    <w:basedOn w:val="56"/>
    <w:qFormat/>
    <w:uiPriority w:val="0"/>
    <w:rPr>
      <w:vertAlign w:val="superscript"/>
    </w:rPr>
  </w:style>
  <w:style w:type="table" w:styleId="66">
    <w:name w:val="Table Grid"/>
    <w:basedOn w:val="6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7">
    <w:name w:val="Balloon Text Char"/>
    <w:basedOn w:val="56"/>
    <w:link w:val="37"/>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Document Map Char"/>
    <w:basedOn w:val="56"/>
    <w:link w:val="26"/>
    <w:qFormat/>
    <w:uiPriority w:val="0"/>
    <w:rPr>
      <w:rFonts w:ascii="宋体"/>
      <w:kern w:val="2"/>
      <w:sz w:val="18"/>
      <w:szCs w:val="18"/>
    </w:rPr>
  </w:style>
  <w:style w:type="character" w:customStyle="1" w:styleId="70">
    <w:name w:val="Heading 1 Char"/>
    <w:basedOn w:val="56"/>
    <w:link w:val="2"/>
    <w:qFormat/>
    <w:uiPriority w:val="0"/>
    <w:rPr>
      <w:b/>
      <w:bCs/>
      <w:kern w:val="44"/>
      <w:sz w:val="44"/>
      <w:szCs w:val="44"/>
    </w:rPr>
  </w:style>
  <w:style w:type="character" w:customStyle="1" w:styleId="71">
    <w:name w:val="Heading 2 Char"/>
    <w:basedOn w:val="56"/>
    <w:link w:val="3"/>
    <w:qFormat/>
    <w:uiPriority w:val="0"/>
    <w:rPr>
      <w:rFonts w:ascii="Arial" w:hAnsi="Arial" w:eastAsia="MS Mincho"/>
      <w:sz w:val="32"/>
      <w:szCs w:val="32"/>
      <w:lang w:val="en-GB"/>
    </w:rPr>
  </w:style>
  <w:style w:type="character" w:customStyle="1" w:styleId="72">
    <w:name w:val="Heading 3 Char"/>
    <w:basedOn w:val="56"/>
    <w:link w:val="5"/>
    <w:qFormat/>
    <w:uiPriority w:val="0"/>
    <w:rPr>
      <w:b/>
      <w:bCs/>
      <w:kern w:val="2"/>
      <w:sz w:val="32"/>
      <w:szCs w:val="32"/>
    </w:rPr>
  </w:style>
  <w:style w:type="character" w:customStyle="1" w:styleId="73">
    <w:name w:val="Heading 4 Char"/>
    <w:basedOn w:val="56"/>
    <w:link w:val="6"/>
    <w:qFormat/>
    <w:uiPriority w:val="0"/>
    <w:rPr>
      <w:rFonts w:ascii="Arial" w:hAnsi="Arial" w:eastAsia="黑体"/>
      <w:b/>
      <w:kern w:val="2"/>
      <w:sz w:val="28"/>
      <w:szCs w:val="24"/>
    </w:rPr>
  </w:style>
  <w:style w:type="character" w:customStyle="1" w:styleId="74">
    <w:name w:val="Heading 5 Char"/>
    <w:basedOn w:val="56"/>
    <w:link w:val="7"/>
    <w:qFormat/>
    <w:uiPriority w:val="0"/>
    <w:rPr>
      <w:b/>
      <w:kern w:val="2"/>
      <w:sz w:val="28"/>
      <w:szCs w:val="24"/>
    </w:rPr>
  </w:style>
  <w:style w:type="character" w:customStyle="1" w:styleId="75">
    <w:name w:val="Heading 6 Char"/>
    <w:basedOn w:val="56"/>
    <w:link w:val="8"/>
    <w:qFormat/>
    <w:uiPriority w:val="0"/>
    <w:rPr>
      <w:rFonts w:ascii="Arial" w:hAnsi="Arial" w:eastAsia="黑体"/>
      <w:b/>
      <w:kern w:val="2"/>
      <w:sz w:val="24"/>
      <w:szCs w:val="24"/>
    </w:rPr>
  </w:style>
  <w:style w:type="character" w:customStyle="1" w:styleId="76">
    <w:name w:val="Heading 7 Char"/>
    <w:basedOn w:val="56"/>
    <w:link w:val="9"/>
    <w:qFormat/>
    <w:uiPriority w:val="0"/>
    <w:rPr>
      <w:b/>
      <w:kern w:val="2"/>
      <w:sz w:val="24"/>
      <w:szCs w:val="24"/>
    </w:rPr>
  </w:style>
  <w:style w:type="character" w:customStyle="1" w:styleId="77">
    <w:name w:val="Heading 8 Char"/>
    <w:basedOn w:val="56"/>
    <w:link w:val="10"/>
    <w:qFormat/>
    <w:uiPriority w:val="0"/>
    <w:rPr>
      <w:rFonts w:ascii="Arial" w:hAnsi="Arial" w:eastAsia="黑体"/>
      <w:kern w:val="2"/>
      <w:sz w:val="24"/>
      <w:szCs w:val="24"/>
    </w:rPr>
  </w:style>
  <w:style w:type="character" w:customStyle="1" w:styleId="78">
    <w:name w:val="Heading 9 Char"/>
    <w:basedOn w:val="56"/>
    <w:link w:val="11"/>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4"/>
    <w:qFormat/>
    <w:uiPriority w:val="99"/>
    <w:rPr>
      <w:rFonts w:ascii="Arial" w:hAnsi="Arial" w:eastAsia="黑体" w:cs="Arial"/>
      <w:kern w:val="2"/>
    </w:rPr>
  </w:style>
  <w:style w:type="character" w:customStyle="1" w:styleId="91">
    <w:name w:val="标题 3 Char Char"/>
    <w:basedOn w:val="56"/>
    <w:qFormat/>
    <w:uiPriority w:val="0"/>
    <w:rPr>
      <w:b/>
      <w:bCs/>
      <w:kern w:val="2"/>
      <w:sz w:val="32"/>
      <w:szCs w:val="32"/>
    </w:rPr>
  </w:style>
  <w:style w:type="character" w:customStyle="1" w:styleId="92">
    <w:name w:val="Comment Subject Char"/>
    <w:basedOn w:val="93"/>
    <w:link w:val="13"/>
    <w:semiHidden/>
    <w:qFormat/>
    <w:uiPriority w:val="0"/>
    <w:rPr>
      <w:rFonts w:ascii="Arial" w:hAnsi="Arial" w:eastAsia="MS Mincho"/>
      <w:b/>
      <w:bCs/>
      <w:lang w:val="en-GB" w:eastAsia="en-GB"/>
    </w:rPr>
  </w:style>
  <w:style w:type="character" w:customStyle="1" w:styleId="93">
    <w:name w:val="批注文字 Char"/>
    <w:basedOn w:val="56"/>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8"/>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6"/>
    <w:link w:val="44"/>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8"/>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6"/>
    <w:qFormat/>
    <w:uiPriority w:val="0"/>
    <w:rPr>
      <w:b/>
      <w:bCs/>
      <w:kern w:val="44"/>
      <w:sz w:val="44"/>
      <w:szCs w:val="44"/>
    </w:rPr>
  </w:style>
  <w:style w:type="character" w:customStyle="1" w:styleId="111">
    <w:name w:val="Doc-title Char Char"/>
    <w:basedOn w:val="56"/>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8"/>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4"/>
    <w:next w:val="44"/>
    <w:link w:val="115"/>
    <w:qFormat/>
    <w:uiPriority w:val="0"/>
  </w:style>
  <w:style w:type="character" w:customStyle="1" w:styleId="117">
    <w:name w:val="Plain Text Char"/>
    <w:basedOn w:val="56"/>
    <w:link w:val="32"/>
    <w:qFormat/>
    <w:uiPriority w:val="99"/>
    <w:rPr>
      <w:rFonts w:ascii="Consolas" w:hAnsi="Consolas" w:eastAsia="Calibri"/>
      <w:sz w:val="21"/>
      <w:szCs w:val="21"/>
      <w:lang w:eastAsia="en-US"/>
    </w:rPr>
  </w:style>
  <w:style w:type="character" w:customStyle="1" w:styleId="118">
    <w:name w:val="首示例 Char Char"/>
    <w:basedOn w:val="56"/>
    <w:link w:val="119"/>
    <w:qFormat/>
    <w:uiPriority w:val="0"/>
    <w:rPr>
      <w:rFonts w:ascii="宋体" w:hAnsi="宋体"/>
      <w:kern w:val="2"/>
      <w:sz w:val="18"/>
      <w:szCs w:val="18"/>
    </w:rPr>
  </w:style>
  <w:style w:type="paragraph" w:customStyle="1" w:styleId="119">
    <w:name w:val="首示例"/>
    <w:next w:val="44"/>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6"/>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2"/>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6"/>
    <w:link w:val="4"/>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9"/>
    <w:qFormat/>
    <w:uiPriority w:val="99"/>
    <w:rPr>
      <w:kern w:val="2"/>
      <w:sz w:val="18"/>
      <w:szCs w:val="18"/>
    </w:rPr>
  </w:style>
  <w:style w:type="character" w:customStyle="1" w:styleId="131">
    <w:name w:val="Doc-text2 Char Char"/>
    <w:basedOn w:val="56"/>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4"/>
    <w:qFormat/>
    <w:uiPriority w:val="0"/>
    <w:pPr>
      <w:outlineLvl w:val="4"/>
    </w:pPr>
  </w:style>
  <w:style w:type="paragraph" w:customStyle="1" w:styleId="144">
    <w:name w:val="二级条标题"/>
    <w:basedOn w:val="145"/>
    <w:next w:val="44"/>
    <w:qFormat/>
    <w:uiPriority w:val="0"/>
    <w:pPr>
      <w:spacing w:beforeLines="0" w:afterLines="0"/>
      <w:outlineLvl w:val="3"/>
    </w:pPr>
  </w:style>
  <w:style w:type="paragraph" w:customStyle="1" w:styleId="145">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4"/>
    <w:qFormat/>
    <w:uiPriority w:val="0"/>
    <w:pPr>
      <w:outlineLvl w:val="5"/>
    </w:pPr>
  </w:style>
  <w:style w:type="character" w:customStyle="1" w:styleId="150">
    <w:name w:val="Footnote Text Char"/>
    <w:basedOn w:val="56"/>
    <w:link w:val="45"/>
    <w:qFormat/>
    <w:uiPriority w:val="0"/>
    <w:rPr>
      <w:rFonts w:ascii="宋体"/>
      <w:kern w:val="2"/>
      <w:sz w:val="18"/>
      <w:szCs w:val="18"/>
    </w:rPr>
  </w:style>
  <w:style w:type="paragraph" w:customStyle="1" w:styleId="151">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4"/>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4"/>
    <w:qFormat/>
    <w:uiPriority w:val="0"/>
    <w:pPr>
      <w:tabs>
        <w:tab w:val="left" w:pos="360"/>
        <w:tab w:val="left" w:pos="864"/>
        <w:tab w:val="left" w:pos="1008"/>
      </w:tabs>
      <w:outlineLvl w:val="5"/>
    </w:pPr>
  </w:style>
  <w:style w:type="paragraph" w:customStyle="1" w:styleId="157">
    <w:name w:val="附录三级条标题"/>
    <w:basedOn w:val="158"/>
    <w:next w:val="44"/>
    <w:qFormat/>
    <w:uiPriority w:val="0"/>
    <w:pPr>
      <w:tabs>
        <w:tab w:val="left" w:pos="360"/>
        <w:tab w:val="left" w:pos="864"/>
        <w:tab w:val="left" w:pos="1008"/>
      </w:tabs>
      <w:ind w:left="1008" w:hanging="1008"/>
      <w:outlineLvl w:val="4"/>
    </w:pPr>
  </w:style>
  <w:style w:type="paragraph" w:customStyle="1" w:styleId="158">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6"/>
    <w:semiHidden/>
    <w:qFormat/>
    <w:uiPriority w:val="0"/>
    <w:rPr>
      <w:rFonts w:ascii="宋体" w:hAnsi="Courier New" w:cs="Courier New"/>
      <w:kern w:val="2"/>
      <w:sz w:val="21"/>
      <w:szCs w:val="21"/>
    </w:rPr>
  </w:style>
  <w:style w:type="paragraph" w:customStyle="1" w:styleId="163">
    <w:name w:val="H6"/>
    <w:basedOn w:val="7"/>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6"/>
    <w:link w:val="1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6"/>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6"/>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1">
    <w:name w:val="示例后文字"/>
    <w:basedOn w:val="44"/>
    <w:next w:val="44"/>
    <w:qFormat/>
    <w:uiPriority w:val="0"/>
    <w:pPr>
      <w:ind w:firstLine="360"/>
    </w:pPr>
    <w:rPr>
      <w:sz w:val="18"/>
    </w:rPr>
  </w:style>
  <w:style w:type="paragraph" w:customStyle="1" w:styleId="202">
    <w:name w:val="图标脚注说明"/>
    <w:basedOn w:val="44"/>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6">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0">
    <w:name w:val="其他实施日期"/>
    <w:basedOn w:val="165"/>
    <w:qFormat/>
    <w:uiPriority w:val="0"/>
  </w:style>
  <w:style w:type="paragraph" w:customStyle="1" w:styleId="211">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9"/>
    <w:qFormat/>
    <w:uiPriority w:val="0"/>
    <w:rPr>
      <w:rFonts w:ascii="宋体" w:eastAsia="宋体"/>
    </w:rPr>
  </w:style>
  <w:style w:type="paragraph" w:customStyle="1" w:styleId="213">
    <w:name w:val="示例×："/>
    <w:basedOn w:val="151"/>
    <w:qFormat/>
    <w:uiPriority w:val="0"/>
    <w:pPr>
      <w:spacing w:beforeLines="0" w:afterLines="0"/>
      <w:ind w:firstLine="397"/>
      <w:outlineLvl w:val="9"/>
    </w:pPr>
    <w:rPr>
      <w:rFonts w:ascii="宋体" w:eastAsia="宋体"/>
      <w:sz w:val="18"/>
      <w:szCs w:val="18"/>
    </w:rPr>
  </w:style>
  <w:style w:type="paragraph" w:customStyle="1" w:styleId="214">
    <w:name w:val="EmailDiscussion2"/>
    <w:basedOn w:val="83"/>
    <w:qFormat/>
    <w:uiPriority w:val="0"/>
  </w:style>
  <w:style w:type="paragraph" w:customStyle="1" w:styleId="215">
    <w:name w:val="B5"/>
    <w:basedOn w:val="47"/>
    <w:qFormat/>
    <w:uiPriority w:val="0"/>
  </w:style>
  <w:style w:type="paragraph" w:customStyle="1" w:styleId="216">
    <w:name w:val="其他发布日期"/>
    <w:basedOn w:val="166"/>
    <w:qFormat/>
    <w:uiPriority w:val="0"/>
  </w:style>
  <w:style w:type="paragraph" w:customStyle="1" w:styleId="217">
    <w:name w:val="B4"/>
    <w:basedOn w:val="48"/>
    <w:link w:val="275"/>
    <w:qFormat/>
    <w:uiPriority w:val="0"/>
  </w:style>
  <w:style w:type="paragraph" w:customStyle="1" w:styleId="218">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9">
    <w:name w:val="Review-comment2"/>
    <w:basedOn w:val="160"/>
    <w:qFormat/>
    <w:uiPriority w:val="0"/>
    <w:rPr>
      <w:color w:val="0070C0"/>
    </w:rPr>
  </w:style>
  <w:style w:type="paragraph" w:customStyle="1" w:styleId="220">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1">
    <w:name w:val="附录表标号"/>
    <w:basedOn w:val="1"/>
    <w:next w:val="44"/>
    <w:qFormat/>
    <w:uiPriority w:val="0"/>
    <w:pPr>
      <w:spacing w:line="14" w:lineRule="exact"/>
      <w:ind w:left="811" w:hanging="448"/>
      <w:jc w:val="center"/>
      <w:outlineLvl w:val="0"/>
    </w:pPr>
    <w:rPr>
      <w:color w:val="FFFFFF"/>
    </w:rPr>
  </w:style>
  <w:style w:type="paragraph" w:customStyle="1" w:styleId="222">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3">
    <w:name w:val="附录标题"/>
    <w:basedOn w:val="44"/>
    <w:next w:val="44"/>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5">
    <w:name w:val="TAC"/>
    <w:basedOn w:val="105"/>
    <w:qFormat/>
    <w:uiPriority w:val="0"/>
    <w:pPr>
      <w:jc w:val="center"/>
    </w:pPr>
    <w:rPr>
      <w:szCs w:val="20"/>
      <w:lang w:eastAsia="en-US"/>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8"/>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4"/>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8"/>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8"/>
    <w:qFormat/>
    <w:uiPriority w:val="0"/>
    <w:pPr>
      <w:keepNext/>
      <w:spacing w:after="0"/>
    </w:pPr>
    <w:rPr>
      <w:rFonts w:ascii="Arial" w:hAnsi="Arial" w:eastAsia="MS Mincho"/>
      <w:sz w:val="18"/>
      <w:lang w:eastAsia="en-US"/>
    </w:rPr>
  </w:style>
  <w:style w:type="paragraph" w:customStyle="1" w:styleId="248">
    <w:name w:val="Style1"/>
    <w:basedOn w:val="6"/>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lang w:val="en-GB"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5"/>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6"/>
    <w:qFormat/>
    <w:uiPriority w:val="0"/>
    <w:rPr>
      <w:lang w:val="en-GB"/>
    </w:rPr>
  </w:style>
  <w:style w:type="character" w:customStyle="1" w:styleId="275">
    <w:name w:val="B4 Char"/>
    <w:link w:val="217"/>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8"/>
    <w:qFormat/>
    <w:uiPriority w:val="0"/>
    <w:rPr>
      <w:lang w:val="en-GB" w:eastAsia="ja-JP"/>
    </w:rPr>
  </w:style>
  <w:style w:type="character" w:customStyle="1" w:styleId="279">
    <w:name w:val="Guidance Char"/>
    <w:link w:val="276"/>
    <w:qFormat/>
    <w:uiPriority w:val="0"/>
    <w:rPr>
      <w:i/>
      <w:color w:val="0000FF"/>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7283ED-EE93-4789-B3C3-4EF3EA18E7E1}">
  <ds:schemaRefs/>
</ds:datastoreItem>
</file>

<file path=docProps/app.xml><?xml version="1.0" encoding="utf-8"?>
<Properties xmlns="http://schemas.openxmlformats.org/officeDocument/2006/extended-properties" xmlns:vt="http://schemas.openxmlformats.org/officeDocument/2006/docPropsVTypes">
  <Template>Normal</Template>
  <Pages>3</Pages>
  <Words>730</Words>
  <Characters>4166</Characters>
  <Lines>34</Lines>
  <Paragraphs>9</Paragraphs>
  <ScaleCrop>false</ScaleCrop>
  <LinksUpToDate>false</LinksUpToDate>
  <CharactersWithSpaces>4887</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2018-03-28T14:35:00Z</dcterms:created>
  <dc:creator>10033860</dc:creator>
  <cp:lastModifiedBy>Yuan-ZTE</cp:lastModifiedBy>
  <cp:lastPrinted>2113-01-01T00:00:00Z</cp:lastPrinted>
  <dcterms:modified xsi:type="dcterms:W3CDTF">2018-05-10T14:15:32Z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